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44BF" w14:textId="0CA2966D" w:rsidR="00895B78" w:rsidRDefault="00895B78" w:rsidP="00895B78">
      <w:pPr>
        <w:pStyle w:val="Heading1"/>
        <w:ind w:left="-851" w:right="-908"/>
        <w:jc w:val="center"/>
      </w:pPr>
      <w:r>
        <w:t xml:space="preserve">APPENDIX FIVE – </w:t>
      </w:r>
      <w:r w:rsidR="00CF1C3A">
        <w:t>Robinson College</w:t>
      </w:r>
      <w:r>
        <w:t xml:space="preserve"> MPhil Scholarships</w:t>
      </w:r>
    </w:p>
    <w:p w14:paraId="24EE3758" w14:textId="77777777" w:rsidR="00895B78" w:rsidRDefault="00895B78" w:rsidP="00895B78">
      <w:pPr>
        <w:jc w:val="both"/>
        <w:rPr>
          <w:rFonts w:ascii="Calibri" w:hAnsi="Calibri" w:cs="Calibri"/>
          <w:sz w:val="22"/>
          <w:szCs w:val="22"/>
          <w:lang w:eastAsia="en-GB"/>
        </w:rPr>
      </w:pPr>
    </w:p>
    <w:tbl>
      <w:tblPr>
        <w:tblW w:w="8789" w:type="dxa"/>
        <w:tblCellSpacing w:w="11" w:type="dxa"/>
        <w:tblLook w:val="04A0" w:firstRow="1" w:lastRow="0" w:firstColumn="1" w:lastColumn="0" w:noHBand="0" w:noVBand="1"/>
      </w:tblPr>
      <w:tblGrid>
        <w:gridCol w:w="2068"/>
        <w:gridCol w:w="629"/>
        <w:gridCol w:w="6092"/>
      </w:tblGrid>
      <w:tr w:rsidR="00895B78" w14:paraId="1C6BB412" w14:textId="77777777" w:rsidTr="00EC680B">
        <w:trPr>
          <w:tblCellSpacing w:w="11" w:type="dxa"/>
        </w:trPr>
        <w:tc>
          <w:tcPr>
            <w:tcW w:w="2035" w:type="dxa"/>
            <w:hideMark/>
          </w:tcPr>
          <w:p w14:paraId="61CDEA48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Title</w:t>
            </w:r>
          </w:p>
        </w:tc>
        <w:tc>
          <w:tcPr>
            <w:tcW w:w="607" w:type="dxa"/>
            <w:hideMark/>
          </w:tcPr>
          <w:p w14:paraId="33A1B8A7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6059" w:type="dxa"/>
          </w:tcPr>
          <w:p w14:paraId="5E35B91B" w14:textId="55CE783D" w:rsidR="00895B78" w:rsidRDefault="00895B78" w:rsidP="00EC680B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There shall be Scholarships, known as </w:t>
            </w:r>
            <w:r w:rsidR="00CF1C3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Robinson College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MPhil Scholarships, funded by donation</w:t>
            </w:r>
            <w:r w:rsidR="00CF1C3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</w:t>
            </w:r>
            <w:r w:rsidR="004F57C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to the Student Support Fund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  <w:p w14:paraId="4E0B23DD" w14:textId="77777777" w:rsidR="00895B78" w:rsidRDefault="00895B78" w:rsidP="00EC680B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895B78" w14:paraId="020C3F59" w14:textId="77777777" w:rsidTr="00EC680B">
        <w:trPr>
          <w:tblCellSpacing w:w="11" w:type="dxa"/>
        </w:trPr>
        <w:tc>
          <w:tcPr>
            <w:tcW w:w="2035" w:type="dxa"/>
            <w:hideMark/>
          </w:tcPr>
          <w:p w14:paraId="6AE7E7C2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Purpose</w:t>
            </w:r>
          </w:p>
        </w:tc>
        <w:tc>
          <w:tcPr>
            <w:tcW w:w="607" w:type="dxa"/>
            <w:hideMark/>
          </w:tcPr>
          <w:p w14:paraId="5DB2F9C8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6059" w:type="dxa"/>
          </w:tcPr>
          <w:p w14:paraId="362554AF" w14:textId="1F2A77A6" w:rsidR="00895B78" w:rsidRDefault="00895B78" w:rsidP="00EC680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The</w:t>
            </w:r>
            <w:r w:rsidR="00921344">
              <w:rPr>
                <w:rFonts w:asciiTheme="minorHAnsi" w:hAnsiTheme="minorHAnsi" w:cstheme="minorHAnsi"/>
                <w:szCs w:val="22"/>
              </w:rPr>
              <w:t xml:space="preserve"> S</w:t>
            </w:r>
            <w:r w:rsidR="003B7E45">
              <w:rPr>
                <w:rFonts w:asciiTheme="minorHAnsi" w:hAnsiTheme="minorHAnsi" w:cstheme="minorHAnsi"/>
                <w:szCs w:val="22"/>
              </w:rPr>
              <w:t xml:space="preserve">cholarships </w:t>
            </w:r>
            <w:r w:rsidR="00EC377B">
              <w:rPr>
                <w:rFonts w:asciiTheme="minorHAnsi" w:hAnsiTheme="minorHAnsi" w:cstheme="minorHAnsi"/>
                <w:szCs w:val="22"/>
              </w:rPr>
              <w:t>are designed to enable students from widening participation backgrounds currently studying at Robinson to progress onto MPhil programmes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14:paraId="512E8E0C" w14:textId="77777777" w:rsidR="00895B78" w:rsidRDefault="00895B78" w:rsidP="00EC680B">
            <w:pPr>
              <w:pStyle w:val="PlainText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895B78" w14:paraId="4EA257B9" w14:textId="77777777" w:rsidTr="00EC680B">
        <w:trPr>
          <w:tblCellSpacing w:w="11" w:type="dxa"/>
        </w:trPr>
        <w:tc>
          <w:tcPr>
            <w:tcW w:w="2035" w:type="dxa"/>
          </w:tcPr>
          <w:p w14:paraId="2AE6FCC5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Who is eligible</w:t>
            </w:r>
          </w:p>
          <w:p w14:paraId="7A7BD753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607" w:type="dxa"/>
            <w:hideMark/>
          </w:tcPr>
          <w:p w14:paraId="7C00801D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3.</w:t>
            </w:r>
          </w:p>
        </w:tc>
        <w:tc>
          <w:tcPr>
            <w:tcW w:w="6059" w:type="dxa"/>
          </w:tcPr>
          <w:p w14:paraId="3A3FC734" w14:textId="779FABB8" w:rsidR="00895B78" w:rsidRDefault="00895B78" w:rsidP="00EC680B">
            <w:pPr>
              <w:pStyle w:val="PlainText"/>
              <w:rPr>
                <w:rFonts w:asciiTheme="minorHAnsi" w:hAnsiTheme="minorHAnsi" w:cstheme="minorHAnsi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Cs w:val="22"/>
                <w:lang w:eastAsia="en-GB"/>
              </w:rPr>
              <w:t xml:space="preserve">Any </w:t>
            </w:r>
            <w:r w:rsidR="008308C9">
              <w:rPr>
                <w:rFonts w:asciiTheme="minorHAnsi" w:hAnsiTheme="minorHAnsi" w:cstheme="minorHAnsi"/>
                <w:szCs w:val="22"/>
                <w:lang w:eastAsia="en-GB"/>
              </w:rPr>
              <w:t>offer holder</w:t>
            </w:r>
            <w:r>
              <w:rPr>
                <w:rFonts w:asciiTheme="minorHAnsi" w:hAnsiTheme="minorHAnsi" w:cstheme="minorHAnsi"/>
                <w:szCs w:val="22"/>
                <w:lang w:eastAsia="en-GB"/>
              </w:rPr>
              <w:t xml:space="preserve"> for an MPhil programme at Robinson, who </w:t>
            </w:r>
            <w:r w:rsidR="003B7E45">
              <w:rPr>
                <w:rFonts w:asciiTheme="minorHAnsi" w:hAnsiTheme="minorHAnsi" w:cstheme="minorHAnsi"/>
                <w:szCs w:val="22"/>
                <w:lang w:eastAsia="en-GB"/>
              </w:rPr>
              <w:t>is currently</w:t>
            </w:r>
            <w:r>
              <w:rPr>
                <w:rFonts w:asciiTheme="minorHAnsi" w:hAnsiTheme="minorHAnsi" w:cstheme="minorHAnsi"/>
                <w:szCs w:val="22"/>
                <w:lang w:eastAsia="en-GB"/>
              </w:rPr>
              <w:t xml:space="preserve"> an undergraduate at the College</w:t>
            </w:r>
            <w:r w:rsidR="003B7E45">
              <w:rPr>
                <w:rFonts w:asciiTheme="minorHAnsi" w:hAnsiTheme="minorHAnsi" w:cstheme="minorHAnsi"/>
                <w:szCs w:val="22"/>
                <w:lang w:eastAsia="en-GB"/>
              </w:rPr>
              <w:t>, is eligible to apply</w:t>
            </w:r>
            <w:r>
              <w:rPr>
                <w:rFonts w:asciiTheme="minorHAnsi" w:hAnsiTheme="minorHAnsi" w:cstheme="minorHAnsi"/>
                <w:szCs w:val="22"/>
                <w:lang w:eastAsia="en-GB"/>
              </w:rPr>
              <w:t>.</w:t>
            </w:r>
          </w:p>
          <w:p w14:paraId="3BC9FAAB" w14:textId="77777777" w:rsidR="00895B78" w:rsidRDefault="00895B78" w:rsidP="00EC680B">
            <w:pPr>
              <w:pStyle w:val="PlainText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895B78" w14:paraId="3463A8C9" w14:textId="77777777" w:rsidTr="00EC680B">
        <w:trPr>
          <w:tblCellSpacing w:w="11" w:type="dxa"/>
        </w:trPr>
        <w:tc>
          <w:tcPr>
            <w:tcW w:w="2035" w:type="dxa"/>
            <w:hideMark/>
          </w:tcPr>
          <w:p w14:paraId="450C39BC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Application process</w:t>
            </w:r>
          </w:p>
        </w:tc>
        <w:tc>
          <w:tcPr>
            <w:tcW w:w="607" w:type="dxa"/>
            <w:hideMark/>
          </w:tcPr>
          <w:p w14:paraId="010FBFDC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4.</w:t>
            </w:r>
          </w:p>
        </w:tc>
        <w:tc>
          <w:tcPr>
            <w:tcW w:w="6059" w:type="dxa"/>
          </w:tcPr>
          <w:p w14:paraId="2C96C57B" w14:textId="77777777" w:rsidR="00C251DA" w:rsidRDefault="00386F19" w:rsidP="00386F19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Eligibility to apply will be advertised to the </w:t>
            </w:r>
            <w:r w:rsidR="00C251D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student body, and applications solicited.</w:t>
            </w:r>
          </w:p>
          <w:p w14:paraId="6772B62D" w14:textId="77777777" w:rsidR="00C251DA" w:rsidRDefault="00C251DA" w:rsidP="00386F19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7C50AEEC" w14:textId="774AB22D" w:rsidR="00895B78" w:rsidRDefault="00C251DA" w:rsidP="00386F19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For the first award for 2026-2027, applications will open in Lent Term, and will be accepted up to the third week of Easter Term.</w:t>
            </w:r>
          </w:p>
          <w:p w14:paraId="07A25440" w14:textId="7986BDF0" w:rsidR="00C251DA" w:rsidRDefault="00C251DA" w:rsidP="00386F19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4131A436" w14:textId="4A147661" w:rsidR="00C251DA" w:rsidRDefault="002B62D5" w:rsidP="00386F19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In future years</w:t>
            </w:r>
            <w:r w:rsidR="00C251D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, applications will open </w:t>
            </w:r>
            <w:r w:rsidR="00473A6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at the end of</w:t>
            </w:r>
            <w:r w:rsidR="00C251D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Michaelmas Term, and will be accepted up to the </w:t>
            </w:r>
            <w:r w:rsidR="009449C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end </w:t>
            </w:r>
            <w:r w:rsidR="00C251D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of Lent Term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  <w:r w:rsidR="00473A6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</w:p>
          <w:p w14:paraId="33A3F7BC" w14:textId="2DF071F6" w:rsidR="00386F19" w:rsidRDefault="00386F19" w:rsidP="00386F1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95B78" w14:paraId="505A2235" w14:textId="77777777" w:rsidTr="00EC680B">
        <w:trPr>
          <w:tblCellSpacing w:w="11" w:type="dxa"/>
        </w:trPr>
        <w:tc>
          <w:tcPr>
            <w:tcW w:w="2035" w:type="dxa"/>
          </w:tcPr>
          <w:p w14:paraId="6E4EF76A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Awarders</w:t>
            </w:r>
          </w:p>
          <w:p w14:paraId="667699E3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607" w:type="dxa"/>
            <w:hideMark/>
          </w:tcPr>
          <w:p w14:paraId="6EFA8762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5.</w:t>
            </w:r>
          </w:p>
        </w:tc>
        <w:tc>
          <w:tcPr>
            <w:tcW w:w="6059" w:type="dxa"/>
          </w:tcPr>
          <w:p w14:paraId="1C28A65A" w14:textId="6CFD55E5" w:rsidR="00895B78" w:rsidRDefault="00386F19" w:rsidP="00EC68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Scholarships shall be awarded by a panel consisting of the</w:t>
            </w:r>
            <w:r w:rsidR="00895B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Senior Tutor, Deputy Senior Tutors, and another Fellow</w:t>
            </w:r>
            <w:r w:rsidR="00895B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E8285F6" w14:textId="77777777" w:rsidR="00895B78" w:rsidRDefault="00895B78" w:rsidP="00C251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78" w14:paraId="7FF81AC1" w14:textId="77777777" w:rsidTr="00EC680B">
        <w:trPr>
          <w:tblCellSpacing w:w="11" w:type="dxa"/>
        </w:trPr>
        <w:tc>
          <w:tcPr>
            <w:tcW w:w="2035" w:type="dxa"/>
          </w:tcPr>
          <w:p w14:paraId="2CDF1E0D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Awarding Criteria</w:t>
            </w:r>
          </w:p>
          <w:p w14:paraId="0690A78D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607" w:type="dxa"/>
          </w:tcPr>
          <w:p w14:paraId="767882FE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6.</w:t>
            </w:r>
          </w:p>
        </w:tc>
        <w:tc>
          <w:tcPr>
            <w:tcW w:w="6059" w:type="dxa"/>
          </w:tcPr>
          <w:p w14:paraId="08464203" w14:textId="3E282D8E" w:rsidR="00895B78" w:rsidRDefault="00895B78" w:rsidP="00EC68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Awards are made based on</w:t>
            </w:r>
            <w:r w:rsidR="0006188A">
              <w:rPr>
                <w:rFonts w:asciiTheme="minorHAnsi" w:hAnsiTheme="minorHAnsi" w:cstheme="minorHAnsi"/>
                <w:sz w:val="22"/>
                <w:szCs w:val="22"/>
              </w:rPr>
              <w:t xml:space="preserve"> academic merit coupled with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5D93">
              <w:rPr>
                <w:rFonts w:asciiTheme="minorHAnsi" w:hAnsiTheme="minorHAnsi" w:cstheme="minorHAnsi"/>
                <w:sz w:val="22"/>
                <w:szCs w:val="22"/>
              </w:rPr>
              <w:t xml:space="preserve">clear </w:t>
            </w:r>
            <w:r w:rsidR="003B7E45">
              <w:rPr>
                <w:rFonts w:asciiTheme="minorHAnsi" w:hAnsiTheme="minorHAnsi" w:cstheme="minorHAnsi"/>
                <w:sz w:val="22"/>
                <w:szCs w:val="22"/>
              </w:rPr>
              <w:t xml:space="preserve">indications of </w:t>
            </w:r>
            <w:r w:rsidR="00E15D93">
              <w:rPr>
                <w:rFonts w:asciiTheme="minorHAnsi" w:hAnsiTheme="minorHAnsi" w:cstheme="minorHAnsi"/>
                <w:sz w:val="22"/>
                <w:szCs w:val="22"/>
              </w:rPr>
              <w:t xml:space="preserve">financial need and/or </w:t>
            </w:r>
            <w:r w:rsidR="003B7E45">
              <w:rPr>
                <w:rFonts w:asciiTheme="minorHAnsi" w:hAnsiTheme="minorHAnsi" w:cstheme="minorHAnsi"/>
                <w:sz w:val="22"/>
                <w:szCs w:val="22"/>
              </w:rPr>
              <w:t>disadvantaged background</w:t>
            </w:r>
            <w:r w:rsidR="0006188A">
              <w:rPr>
                <w:rFonts w:asciiTheme="minorHAnsi" w:hAnsiTheme="minorHAnsi" w:cstheme="minorHAnsi"/>
                <w:sz w:val="22"/>
                <w:szCs w:val="22"/>
              </w:rPr>
              <w:t>. C</w:t>
            </w:r>
            <w:r w:rsidR="003B7E45">
              <w:rPr>
                <w:rFonts w:asciiTheme="minorHAnsi" w:hAnsiTheme="minorHAnsi" w:cstheme="minorHAnsi"/>
                <w:sz w:val="22"/>
                <w:szCs w:val="22"/>
              </w:rPr>
              <w:t xml:space="preserve">riteria </w:t>
            </w:r>
            <w:r w:rsidR="0006188A">
              <w:rPr>
                <w:rFonts w:asciiTheme="minorHAnsi" w:hAnsiTheme="minorHAnsi" w:cstheme="minorHAnsi"/>
                <w:sz w:val="22"/>
                <w:szCs w:val="22"/>
              </w:rPr>
              <w:t>for the latter includes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B2B6022" w14:textId="4EC16A5A" w:rsidR="000111FF" w:rsidRDefault="000111FF" w:rsidP="00895B7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Participation in the </w:t>
            </w:r>
            <w:r w:rsidR="006C2132">
              <w:rPr>
                <w:rFonts w:asciiTheme="minorHAnsi" w:hAnsiTheme="minorHAnsi" w:cstheme="minorHAnsi"/>
                <w:sz w:val="22"/>
                <w:szCs w:val="22"/>
              </w:rPr>
              <w:t>Robinso</w:t>
            </w:r>
            <w:r w:rsidR="00257038">
              <w:rPr>
                <w:rFonts w:asciiTheme="minorHAnsi" w:hAnsiTheme="minorHAnsi" w:cstheme="minorHAnsi"/>
                <w:sz w:val="22"/>
                <w:szCs w:val="22"/>
              </w:rPr>
              <w:t xml:space="preserve">n College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Pegasus programme; </w:t>
            </w:r>
          </w:p>
          <w:p w14:paraId="406B23F0" w14:textId="29610C8E" w:rsidR="00895B78" w:rsidRDefault="003B7E45" w:rsidP="00895B7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Coming from a low-income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household;</w:t>
            </w:r>
            <w:proofErr w:type="gramEnd"/>
          </w:p>
          <w:p w14:paraId="3946EDD0" w14:textId="35D250E4" w:rsidR="003B7E45" w:rsidRDefault="003B7E45" w:rsidP="00895B7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Estrangement from family;</w:t>
            </w:r>
          </w:p>
          <w:p w14:paraId="60761CE8" w14:textId="1D19DBA8" w:rsidR="003B7E45" w:rsidRDefault="003B7E45" w:rsidP="00895B7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Being a carer;</w:t>
            </w:r>
          </w:p>
          <w:p w14:paraId="1A242C88" w14:textId="6993CEB9" w:rsidR="003B7E45" w:rsidRPr="0006188A" w:rsidRDefault="003B7E45" w:rsidP="003B7E4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Little experience of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University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a student’s family or community pre-Undergraduate education</w:t>
            </w:r>
            <w:r w:rsidR="009213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A5F2AC2" w14:textId="77777777" w:rsidR="00895B78" w:rsidRDefault="00895B78" w:rsidP="000618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78" w14:paraId="5922C665" w14:textId="77777777" w:rsidTr="00EC680B">
        <w:trPr>
          <w:tblCellSpacing w:w="11" w:type="dxa"/>
        </w:trPr>
        <w:tc>
          <w:tcPr>
            <w:tcW w:w="2035" w:type="dxa"/>
          </w:tcPr>
          <w:p w14:paraId="6C276CD9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Value</w:t>
            </w:r>
          </w:p>
        </w:tc>
        <w:tc>
          <w:tcPr>
            <w:tcW w:w="607" w:type="dxa"/>
          </w:tcPr>
          <w:p w14:paraId="3F87C215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7.</w:t>
            </w:r>
          </w:p>
        </w:tc>
        <w:tc>
          <w:tcPr>
            <w:tcW w:w="6059" w:type="dxa"/>
          </w:tcPr>
          <w:p w14:paraId="5637930D" w14:textId="1257B972" w:rsidR="004F57CE" w:rsidRDefault="004A4495" w:rsidP="00EC680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F57C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B62D5">
              <w:rPr>
                <w:rFonts w:asciiTheme="minorHAnsi" w:hAnsiTheme="minorHAnsi" w:cstheme="minorHAnsi"/>
                <w:sz w:val="22"/>
                <w:szCs w:val="22"/>
              </w:rPr>
              <w:t>cholarship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="004F57CE">
              <w:rPr>
                <w:rFonts w:asciiTheme="minorHAnsi" w:hAnsiTheme="minorHAnsi" w:cstheme="minorHAnsi"/>
                <w:sz w:val="22"/>
                <w:szCs w:val="22"/>
              </w:rPr>
              <w:t xml:space="preserve"> will be awarded annually, so long 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sufficient donor funding remains </w:t>
            </w:r>
            <w:r w:rsidR="004F57CE">
              <w:rPr>
                <w:rFonts w:asciiTheme="minorHAnsi" w:hAnsiTheme="minorHAnsi" w:cstheme="minorHAnsi"/>
                <w:sz w:val="22"/>
                <w:szCs w:val="22"/>
              </w:rPr>
              <w:t>to support this programme.</w:t>
            </w:r>
          </w:p>
          <w:p w14:paraId="06F9D83D" w14:textId="77777777" w:rsidR="004F57CE" w:rsidRDefault="004F57CE" w:rsidP="00EC680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80D581" w14:textId="6DCCB5FC" w:rsidR="00895B78" w:rsidRDefault="004F57CE" w:rsidP="00EC680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value will be </w:t>
            </w:r>
            <w:r w:rsidR="002B62D5">
              <w:rPr>
                <w:rFonts w:asciiTheme="minorHAnsi" w:hAnsiTheme="minorHAnsi" w:cstheme="minorHAnsi"/>
                <w:sz w:val="22"/>
                <w:szCs w:val="22"/>
              </w:rPr>
              <w:t xml:space="preserve">£10,000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2B62D5">
              <w:rPr>
                <w:rFonts w:asciiTheme="minorHAnsi" w:hAnsiTheme="minorHAnsi" w:cstheme="minorHAnsi"/>
                <w:sz w:val="22"/>
                <w:szCs w:val="22"/>
              </w:rPr>
              <w:t xml:space="preserve"> students who are expected to pay Home Fees for their MPhil programme,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62D5">
              <w:rPr>
                <w:rFonts w:asciiTheme="minorHAnsi" w:hAnsiTheme="minorHAnsi" w:cstheme="minorHAnsi"/>
                <w:sz w:val="22"/>
                <w:szCs w:val="22"/>
              </w:rPr>
              <w:t xml:space="preserve">£20,000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2B62D5">
              <w:rPr>
                <w:rFonts w:asciiTheme="minorHAnsi" w:hAnsiTheme="minorHAnsi" w:cstheme="minorHAnsi"/>
                <w:sz w:val="22"/>
                <w:szCs w:val="22"/>
              </w:rPr>
              <w:t xml:space="preserve"> students who are expected to pay Overseas Fees.</w:t>
            </w:r>
            <w:r w:rsidR="004A44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B20F13" w14:textId="00F9018E" w:rsidR="002B62D5" w:rsidRDefault="002B62D5" w:rsidP="00EC680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D5A28" w14:textId="1BE8FB7B" w:rsidR="002B62D5" w:rsidRDefault="002B62D5" w:rsidP="00EC680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award will be for a single year of study</w:t>
            </w:r>
            <w:r w:rsidR="004F57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A8B9D69" w14:textId="77777777" w:rsidR="00895B78" w:rsidRDefault="00895B78" w:rsidP="00EC680B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895B78" w14:paraId="23309219" w14:textId="77777777" w:rsidTr="00EC680B">
        <w:trPr>
          <w:tblCellSpacing w:w="11" w:type="dxa"/>
        </w:trPr>
        <w:tc>
          <w:tcPr>
            <w:tcW w:w="2035" w:type="dxa"/>
            <w:hideMark/>
          </w:tcPr>
          <w:p w14:paraId="2621F745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Discretion</w:t>
            </w:r>
          </w:p>
        </w:tc>
        <w:tc>
          <w:tcPr>
            <w:tcW w:w="607" w:type="dxa"/>
            <w:hideMark/>
          </w:tcPr>
          <w:p w14:paraId="0017DF19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8.</w:t>
            </w:r>
          </w:p>
        </w:tc>
        <w:tc>
          <w:tcPr>
            <w:tcW w:w="6059" w:type="dxa"/>
          </w:tcPr>
          <w:p w14:paraId="218EF797" w14:textId="54045A26" w:rsidR="002B62D5" w:rsidRDefault="002B62D5" w:rsidP="002B62D5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7128B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The awarders shall, if they think it proper, make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7128B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no award.</w:t>
            </w:r>
          </w:p>
          <w:p w14:paraId="4603540C" w14:textId="08BC2DF3" w:rsidR="004F57CE" w:rsidRDefault="004F57CE" w:rsidP="002B62D5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363B71BC" w14:textId="6FA55EF2" w:rsidR="004F57CE" w:rsidRPr="002B62D5" w:rsidRDefault="004F57CE" w:rsidP="002B62D5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the student who receives the Scholarship has to apply for intermission, they will not automatically be eligible for a renewal of the award – this</w:t>
            </w:r>
            <w:r w:rsidR="00921344">
              <w:rPr>
                <w:rFonts w:asciiTheme="minorHAnsi" w:hAnsiTheme="minorHAnsi" w:cstheme="minorHAnsi"/>
                <w:sz w:val="22"/>
                <w:szCs w:val="22"/>
              </w:rPr>
              <w:t xml:space="preserve"> will be discussed by the awarding panel.</w:t>
            </w:r>
          </w:p>
          <w:p w14:paraId="68071340" w14:textId="77777777" w:rsidR="002B62D5" w:rsidRDefault="002B62D5" w:rsidP="00EC680B">
            <w:pPr>
              <w:pStyle w:val="PlainText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  <w:p w14:paraId="2ED66B12" w14:textId="04BD2A29" w:rsidR="00895B78" w:rsidRDefault="00C251DA" w:rsidP="00EC680B">
            <w:pPr>
              <w:pStyle w:val="PlainText"/>
              <w:rPr>
                <w:rFonts w:asciiTheme="minorHAnsi" w:hAnsiTheme="minorHAnsi" w:cstheme="minorHAnsi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Cs w:val="22"/>
                <w:lang w:eastAsia="en-GB"/>
              </w:rPr>
              <w:lastRenderedPageBreak/>
              <w:t xml:space="preserve">If an award is made to a student </w:t>
            </w:r>
            <w:r w:rsidR="002B62D5">
              <w:rPr>
                <w:rFonts w:asciiTheme="minorHAnsi" w:hAnsiTheme="minorHAnsi" w:cstheme="minorHAnsi"/>
                <w:szCs w:val="22"/>
                <w:lang w:eastAsia="en-GB"/>
              </w:rPr>
              <w:t xml:space="preserve">anticipated to </w:t>
            </w:r>
            <w:r>
              <w:rPr>
                <w:rFonts w:asciiTheme="minorHAnsi" w:hAnsiTheme="minorHAnsi" w:cstheme="minorHAnsi"/>
                <w:szCs w:val="22"/>
                <w:lang w:eastAsia="en-GB"/>
              </w:rPr>
              <w:t xml:space="preserve">pay </w:t>
            </w:r>
            <w:r w:rsidR="002B62D5">
              <w:rPr>
                <w:rFonts w:asciiTheme="minorHAnsi" w:hAnsiTheme="minorHAnsi" w:cstheme="minorHAnsi"/>
                <w:szCs w:val="22"/>
                <w:lang w:eastAsia="en-GB"/>
              </w:rPr>
              <w:t>O</w:t>
            </w:r>
            <w:r>
              <w:rPr>
                <w:rFonts w:asciiTheme="minorHAnsi" w:hAnsiTheme="minorHAnsi" w:cstheme="minorHAnsi"/>
                <w:szCs w:val="22"/>
                <w:lang w:eastAsia="en-GB"/>
              </w:rPr>
              <w:t xml:space="preserve">verseas </w:t>
            </w:r>
            <w:r w:rsidR="002B62D5">
              <w:rPr>
                <w:rFonts w:asciiTheme="minorHAnsi" w:hAnsiTheme="minorHAnsi" w:cstheme="minorHAnsi"/>
                <w:szCs w:val="22"/>
                <w:lang w:eastAsia="en-GB"/>
              </w:rPr>
              <w:t>F</w:t>
            </w:r>
            <w:r>
              <w:rPr>
                <w:rFonts w:asciiTheme="minorHAnsi" w:hAnsiTheme="minorHAnsi" w:cstheme="minorHAnsi"/>
                <w:szCs w:val="22"/>
                <w:lang w:eastAsia="en-GB"/>
              </w:rPr>
              <w:t>ee</w:t>
            </w:r>
            <w:r w:rsidR="002B62D5">
              <w:rPr>
                <w:rFonts w:asciiTheme="minorHAnsi" w:hAnsiTheme="minorHAnsi" w:cstheme="minorHAnsi"/>
                <w:szCs w:val="22"/>
                <w:lang w:eastAsia="en-GB"/>
              </w:rPr>
              <w:t>s</w:t>
            </w:r>
            <w:r>
              <w:rPr>
                <w:rFonts w:asciiTheme="minorHAnsi" w:hAnsiTheme="minorHAnsi" w:cstheme="minorHAnsi"/>
                <w:szCs w:val="22"/>
                <w:lang w:eastAsia="en-GB"/>
              </w:rPr>
              <w:t>, the Financial Tutor will be informed for the purposes of allocation of wider Student Support Fund spending in the next Financial Year.</w:t>
            </w:r>
          </w:p>
          <w:p w14:paraId="72D652BA" w14:textId="77777777" w:rsidR="00895B78" w:rsidRDefault="00895B78" w:rsidP="00EC680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895B78" w14:paraId="6FE00AF2" w14:textId="77777777" w:rsidTr="00EC680B">
        <w:trPr>
          <w:tblCellSpacing w:w="11" w:type="dxa"/>
        </w:trPr>
        <w:tc>
          <w:tcPr>
            <w:tcW w:w="2035" w:type="dxa"/>
            <w:hideMark/>
          </w:tcPr>
          <w:p w14:paraId="19618B8C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Reporting</w:t>
            </w:r>
          </w:p>
        </w:tc>
        <w:tc>
          <w:tcPr>
            <w:tcW w:w="607" w:type="dxa"/>
            <w:hideMark/>
          </w:tcPr>
          <w:p w14:paraId="4E3331C1" w14:textId="77777777" w:rsidR="00895B78" w:rsidRDefault="00895B78" w:rsidP="00EC68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9.</w:t>
            </w:r>
          </w:p>
        </w:tc>
        <w:tc>
          <w:tcPr>
            <w:tcW w:w="6059" w:type="dxa"/>
          </w:tcPr>
          <w:p w14:paraId="1D08A649" w14:textId="7A8FFED3" w:rsidR="00895B78" w:rsidRPr="00B67274" w:rsidRDefault="002B62D5" w:rsidP="00EC680B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Recipients of a </w:t>
            </w:r>
            <w:r w:rsidR="004A2128">
              <w:rPr>
                <w:rFonts w:asciiTheme="minorHAnsi" w:hAnsiTheme="minorHAnsi" w:cstheme="minorHAnsi"/>
                <w:sz w:val="22"/>
                <w:szCs w:val="22"/>
              </w:rPr>
              <w:t>Robinson College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MPhil Scholarship will be expected to</w:t>
            </w:r>
            <w:r w:rsidR="00895B78">
              <w:rPr>
                <w:rFonts w:asciiTheme="minorHAnsi" w:hAnsiTheme="minorHAnsi" w:cstheme="minorHAnsi"/>
                <w:sz w:val="22"/>
                <w:szCs w:val="22"/>
              </w:rPr>
              <w:t xml:space="preserve"> submit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brief </w:t>
            </w:r>
            <w:r w:rsidR="00895B78">
              <w:rPr>
                <w:rFonts w:asciiTheme="minorHAnsi" w:hAnsiTheme="minorHAnsi" w:cstheme="minorHAnsi"/>
                <w:sz w:val="22"/>
                <w:szCs w:val="22"/>
              </w:rPr>
              <w:t>report to the Development Office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 the conclusion of their MPhil Programme, on how the Scholarship has impacted their studies, to be shared with the donors, as well as other potential donors to Robinson</w:t>
            </w:r>
            <w:r w:rsidR="00895B78" w:rsidRPr="00B672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BE62389" w14:textId="77777777" w:rsidR="003051B8" w:rsidRDefault="003051B8"/>
    <w:sectPr w:rsidR="00305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D02D3"/>
    <w:multiLevelType w:val="hybridMultilevel"/>
    <w:tmpl w:val="331AE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5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78"/>
    <w:rsid w:val="000111FF"/>
    <w:rsid w:val="0006188A"/>
    <w:rsid w:val="00257038"/>
    <w:rsid w:val="002B62D5"/>
    <w:rsid w:val="003051B8"/>
    <w:rsid w:val="00386F19"/>
    <w:rsid w:val="003B7E45"/>
    <w:rsid w:val="00473A6F"/>
    <w:rsid w:val="004A2128"/>
    <w:rsid w:val="004A4495"/>
    <w:rsid w:val="004F57CE"/>
    <w:rsid w:val="006C2132"/>
    <w:rsid w:val="0081212D"/>
    <w:rsid w:val="008308C9"/>
    <w:rsid w:val="00895B78"/>
    <w:rsid w:val="00921344"/>
    <w:rsid w:val="009449C2"/>
    <w:rsid w:val="00C251DA"/>
    <w:rsid w:val="00CC2268"/>
    <w:rsid w:val="00CF1C3A"/>
    <w:rsid w:val="00D96756"/>
    <w:rsid w:val="00E15D93"/>
    <w:rsid w:val="00EC377B"/>
    <w:rsid w:val="00F6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2448"/>
  <w15:chartTrackingRefBased/>
  <w15:docId w15:val="{B0BC9529-6D60-4E58-8EE4-5C42214F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B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95B7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5B78"/>
    <w:rPr>
      <w:rFonts w:ascii="Arial" w:eastAsia="Times New Roman" w:hAnsi="Arial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95B7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5B78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895B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5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1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1D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1DA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3D14-2E12-4B55-B593-DC4B3FFE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E R Smith</dc:creator>
  <cp:keywords/>
  <dc:description/>
  <cp:lastModifiedBy>Scott Annett</cp:lastModifiedBy>
  <cp:revision>9</cp:revision>
  <dcterms:created xsi:type="dcterms:W3CDTF">2026-03-06T14:35:00Z</dcterms:created>
  <dcterms:modified xsi:type="dcterms:W3CDTF">2026-03-09T10:24:00Z</dcterms:modified>
</cp:coreProperties>
</file>